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07" w:type="dxa"/>
        <w:tblInd w:w="91" w:type="dxa"/>
        <w:tblLook w:val="04A0"/>
      </w:tblPr>
      <w:tblGrid>
        <w:gridCol w:w="1820"/>
        <w:gridCol w:w="2658"/>
        <w:gridCol w:w="965"/>
        <w:gridCol w:w="956"/>
        <w:gridCol w:w="1804"/>
        <w:gridCol w:w="222"/>
        <w:gridCol w:w="2657"/>
        <w:gridCol w:w="237"/>
        <w:gridCol w:w="1684"/>
        <w:gridCol w:w="1080"/>
      </w:tblGrid>
      <w:tr w:rsidR="00E40B2D" w:rsidRPr="00E40B2D" w:rsidTr="00E40B2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EE204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S3</w:t>
            </w:r>
          </w:p>
        </w:tc>
        <w:tc>
          <w:tcPr>
            <w:tcW w:w="9129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9B448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</w:t>
            </w:r>
            <w:proofErr w:type="spellEnd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multivariate analyses of prognostic factors in HCC in </w:t>
            </w:r>
            <w:r w:rsidR="009B4482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validation</w:t>
            </w: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cohort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0B2D" w:rsidRPr="00E40B2D" w:rsidTr="00E40B2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0B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01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0B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76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DFS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</w:t>
            </w:r>
            <w:proofErr w:type="spellEnd"/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</w:t>
            </w:r>
            <w:proofErr w:type="spellEnd"/>
          </w:p>
        </w:tc>
        <w:tc>
          <w:tcPr>
            <w:tcW w:w="28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</w:tr>
      <w:tr w:rsidR="00E40B2D" w:rsidRPr="00E40B2D" w:rsidTr="00E40B2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0B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 (95% CI)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E40B2D" w:rsidRPr="00E40B2D" w:rsidTr="00E40B2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Age(years)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liver cirrhosis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Hepatitis history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APLB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0.477(0.241-0.944)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0.576(0.354-0.838)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GGT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1.914(1.133-3.232)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1.535(1.057-2.23)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Tumor size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3.072(1.825-5.172)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1.525(1.021-2.277)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Tumor number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Tumor capsule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Vascular invasion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1.735(1.148-2.622)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Edmondson grade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0.418(0.234-0.747)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0.609(0.409-0.908)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  <w:proofErr w:type="spellEnd"/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ApoE</w:t>
            </w:r>
            <w:proofErr w:type="spellEnd"/>
          </w:p>
        </w:tc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1.897(1.123-3.204)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15"/>
        </w:trPr>
        <w:tc>
          <w:tcPr>
            <w:tcW w:w="1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40B2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0B2D" w:rsidRPr="00E40B2D" w:rsidTr="00E40B2D">
        <w:trPr>
          <w:trHeight w:val="315"/>
        </w:trPr>
        <w:tc>
          <w:tcPr>
            <w:tcW w:w="12527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</w:t>
            </w:r>
            <w:proofErr w:type="spellEnd"/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analysis: Kaplan-Meier method; multivariate analysis: Cox proportional hazards regression model;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40B2D" w:rsidRPr="00E40B2D" w:rsidTr="00E40B2D">
        <w:trPr>
          <w:trHeight w:val="300"/>
        </w:trPr>
        <w:tc>
          <w:tcPr>
            <w:tcW w:w="1252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C01EEB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BMI: body mass index; GLU: glucose; APLB: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prealbumin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ALT: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alanine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aminotransferase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TB: total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bilirubin</w:t>
            </w:r>
            <w:proofErr w:type="spellEnd"/>
            <w:r w:rsid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AFP:</w:t>
            </w:r>
            <w:r w:rsidR="00C01EE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alpha-fetoprotein; ALB: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prealbumin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GGT: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glutamyl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transpeptidase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HbA1C: hemoglobin A1C; CRP: C reactive protein; TC: total cholesterol</w:t>
            </w:r>
            <w:r w:rsid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</w:t>
            </w:r>
            <w:r w:rsidR="00C01EE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TG: triglycerides; HDL: high-density lipoprotein; </w:t>
            </w:r>
            <w:proofErr w:type="spellStart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LDL:low</w:t>
            </w:r>
            <w:proofErr w:type="spellEnd"/>
            <w:r w:rsidR="00C01EEB" w:rsidRPr="00C01E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-density lipoprotein;</w:t>
            </w:r>
            <w:r w:rsidR="00C01EE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E40B2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OS: overall survival; DFS: disease free survival; HR: Hazard Ratio; CI: confidence interval.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0B2D" w:rsidRPr="00E40B2D" w:rsidRDefault="00E40B2D" w:rsidP="00E40B2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A97264" w:rsidRPr="00E40B2D" w:rsidRDefault="00A97264"/>
    <w:sectPr w:rsidR="00A97264" w:rsidRPr="00E40B2D" w:rsidSect="00E40B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0B2D"/>
    <w:rsid w:val="009B4482"/>
    <w:rsid w:val="00A97264"/>
    <w:rsid w:val="00C01EEB"/>
    <w:rsid w:val="00C9410E"/>
    <w:rsid w:val="00E40B2D"/>
    <w:rsid w:val="00EE2044"/>
    <w:rsid w:val="00F85818"/>
    <w:rsid w:val="00F90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8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5</cp:revision>
  <dcterms:created xsi:type="dcterms:W3CDTF">2019-04-07T05:20:00Z</dcterms:created>
  <dcterms:modified xsi:type="dcterms:W3CDTF">2019-04-08T08:46:00Z</dcterms:modified>
</cp:coreProperties>
</file>